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right"/>
      </w:pPr>
      <w:r>
        <w:drawing>
          <wp:inline xmlns:a="http://schemas.openxmlformats.org/drawingml/2006/main" xmlns:pic="http://schemas.openxmlformats.org/drawingml/2006/picture">
            <wp:extent cx="1554480" cy="373862"/>
            <wp:docPr id="1" name="Picture 1"/>
            <wp:cNvGraphicFramePr>
              <a:graphicFrameLocks noChangeAspect="1"/>
            </wp:cNvGraphicFramePr>
            <a:graphic>
              <a:graphicData uri="http://schemas.openxmlformats.org/drawingml/2006/picture">
                <pic:pic>
                  <pic:nvPicPr>
                    <pic:cNvPr id="0" name="terrapin-logo.png"/>
                    <pic:cNvPicPr/>
                  </pic:nvPicPr>
                  <pic:blipFill>
                    <a:blip r:embed="rId9"/>
                    <a:stretch>
                      <a:fillRect/>
                    </a:stretch>
                  </pic:blipFill>
                  <pic:spPr>
                    <a:xfrm>
                      <a:off x="0" y="0"/>
                      <a:ext cx="1554480" cy="373862"/>
                    </a:xfrm>
                    <a:prstGeom prst="rect"/>
                  </pic:spPr>
                </pic:pic>
              </a:graphicData>
            </a:graphic>
          </wp:inline>
        </w:drawing>
      </w:r>
    </w:p>
    <w:p>
      <w:pPr>
        <w:spacing w:before="80"/>
      </w:pPr>
      <w:r>
        <w:rPr>
          <w:rFonts w:ascii="Archivo" w:hAnsi="Archivo"/>
          <w:b/>
          <w:i w:val="0"/>
          <w:color w:val="B89A00"/>
          <w:sz w:val="18"/>
        </w:rPr>
        <w:t>CASE STUDY</w:t>
      </w:r>
    </w:p>
    <w:p>
      <w:pPr>
        <w:spacing w:before="40" w:after="200"/>
      </w:pPr>
      <w:r>
        <w:rPr>
          <w:rFonts w:ascii="Archivo" w:hAnsi="Archivo"/>
          <w:b/>
          <w:i w:val="0"/>
          <w:color w:val="1B1B1B"/>
          <w:sz w:val="52"/>
        </w:rPr>
        <w:t>One EV Charging Program, Four Ways It Pays Off</w:t>
      </w:r>
    </w:p>
    <w:p>
      <w:pPr>
        <w:spacing w:after="40"/>
      </w:pPr>
      <w:r>
        <w:rPr>
          <w:rFonts w:ascii="Archivo" w:hAnsi="Archivo"/>
          <w:b/>
          <w:i w:val="0"/>
          <w:color w:val="1B1B1B"/>
          <w:sz w:val="22"/>
        </w:rPr>
        <w:t>The Plaza at Pikes Peak</w:t>
      </w:r>
      <w:r>
        <w:rPr>
          <w:rFonts w:ascii="Archivo" w:hAnsi="Archivo"/>
          <w:b w:val="0"/>
          <w:i w:val="0"/>
          <w:color w:val="666666"/>
          <w:sz w:val="22"/>
        </w:rPr>
        <w:t xml:space="preserve">  ·  702 East Pikes Peak Avenue</w:t>
      </w:r>
    </w:p>
    <w:p>
      <w:pPr>
        <w:spacing w:after="280"/>
      </w:pPr>
      <w:r>
        <w:rPr>
          <w:rFonts w:ascii="Archivo" w:hAnsi="Archivo"/>
          <w:b w:val="0"/>
          <w:i w:val="0"/>
          <w:color w:val="666666"/>
          <w:sz w:val="20"/>
        </w:rPr>
        <w:t>4 CMS-managed ports (DQ-424, DQ-433, DQ-434, DQ-435) · Data measured Jun 8 – Aug 17, 2026</w:t>
      </w:r>
    </w:p>
    <w:p>
      <w:pPr>
        <w:spacing w:before="80" w:after="80"/>
        <w:pBdr>
          <w:bottom w:val="single" w:sz="6" w:space="1" w:color="D9D9D9"/>
        </w:pBdr>
      </w:pPr>
    </w:p>
    <w:p>
      <w:pPr>
        <w:spacing w:before="240" w:after="400"/>
      </w:pPr>
      <w:r>
        <w:rPr>
          <w:rFonts w:ascii="Archivo" w:hAnsi="Archivo"/>
          <w:b w:val="0"/>
          <w:i w:val="0"/>
          <w:color w:val="333333"/>
          <w:sz w:val="23"/>
        </w:rPr>
        <w:t>A property owner installed four EV chargers expecting a tenant amenity and a line-item cost. Six weeks of measured 15-minute utility and session data instead show a program that pays for itself, trims the building's own demand charge, gets drivers to voluntarily shift off-peak, and gives the utility a real, quantified peak-shaving story, all from one small, price-signaled charging deployment.</w:t>
      </w:r>
    </w:p>
    <w:tbl>
      <w:tblPr>
        <w:tblW w:type="auto" w:w="0"/>
        <w:tblLayout w:type="autofit"/>
        <w:tblLook w:firstColumn="1" w:firstRow="1" w:lastColumn="0" w:lastRow="0" w:noHBand="0" w:noVBand="1" w:val="04A0"/>
      </w:tblPr>
      <w:tblGrid>
        <w:gridCol w:w="4824"/>
        <w:gridCol w:w="4824"/>
      </w:tblGrid>
      <w:tr>
        <w:tc>
          <w:tcPr>
            <w:tcW w:type="dxa" w:w="4824"/>
            <w:shd w:val="clear" w:color="auto" w:fill="FBE9E7"/>
            <w:tcBorders>
              <w:top w:val="single" w:sz="4" w:color="E0C9C6"/>
              <w:bottom w:val="single" w:sz="4" w:color="E0C9C6"/>
              <w:left w:val="single" w:sz="4" w:color="E0C9C6"/>
              <w:right w:val="single" w:sz="4" w:color="E0C9C6"/>
            </w:tcBorders>
            <w:vAlign w:val="top"/>
          </w:tcPr>
          <w:p>
            <w:pPr>
              <w:spacing w:before="160"/>
            </w:pPr>
            <w:r>
              <w:rPr>
                <w:rFonts w:ascii="Archivo" w:hAnsi="Archivo"/>
                <w:b/>
                <w:i w:val="0"/>
                <w:color w:val="B23C33"/>
                <w:sz w:val="17"/>
              </w:rPr>
              <w:t>BEFORE · JUN 8–21 (FREE TO DRIVERS)</w:t>
            </w:r>
          </w:p>
          <w:p>
            <w:r>
              <w:rPr>
                <w:rFonts w:ascii="Archivo" w:hAnsi="Archivo"/>
                <w:b/>
                <w:i w:val="0"/>
                <w:color w:val="B23C33"/>
                <w:sz w:val="36"/>
              </w:rPr>
              <w:t>–$202</w:t>
            </w:r>
          </w:p>
          <w:p>
            <w:pPr>
              <w:spacing w:after="120"/>
            </w:pPr>
            <w:r>
              <w:rPr>
                <w:rFonts w:ascii="Archivo" w:hAnsi="Archivo"/>
                <w:b w:val="0"/>
                <w:i w:val="0"/>
                <w:color w:val="666666"/>
                <w:sz w:val="17"/>
              </w:rPr>
              <w:t>14 days, entirely a cost center</w:t>
            </w:r>
          </w:p>
          <w:p>
            <w:pPr>
              <w:spacing w:after="80"/>
            </w:pPr>
            <w:r>
              <w:rPr>
                <w:rFonts w:ascii="Archivo" w:hAnsi="Archivo"/>
                <w:b w:val="0"/>
                <w:i w:val="0"/>
                <w:color w:val="333333"/>
                <w:sz w:val="19"/>
              </w:rPr>
              <w:t xml:space="preserve">• </w:t>
            </w:r>
            <w:r>
              <w:rPr>
                <w:rFonts w:ascii="Archivo" w:hAnsi="Archivo"/>
                <w:b w:val="0"/>
                <w:i w:val="0"/>
                <w:color w:val="333333"/>
                <w:sz w:val="19"/>
              </w:rPr>
              <w:t>82 sessions, $0 ever charged to drivers</w:t>
            </w:r>
          </w:p>
          <w:p>
            <w:pPr>
              <w:spacing w:after="80"/>
            </w:pPr>
            <w:r>
              <w:rPr>
                <w:rFonts w:ascii="Archivo" w:hAnsi="Archivo"/>
                <w:b w:val="0"/>
                <w:i w:val="0"/>
                <w:color w:val="333333"/>
                <w:sz w:val="19"/>
              </w:rPr>
              <w:t xml:space="preserve">• </w:t>
            </w:r>
            <w:r>
              <w:rPr>
                <w:rFonts w:ascii="Archivo" w:hAnsi="Archivo"/>
                <w:b w:val="0"/>
                <w:i w:val="0"/>
                <w:color w:val="333333"/>
                <w:sz w:val="19"/>
              </w:rPr>
              <w:t>$202 electricity cost, 100% absorbed by the property, $0 recovered</w:t>
            </w:r>
          </w:p>
          <w:p>
            <w:pPr>
              <w:spacing w:after="160"/>
            </w:pPr>
            <w:r>
              <w:rPr>
                <w:rFonts w:ascii="Archivo" w:hAnsi="Archivo"/>
                <w:b w:val="0"/>
                <w:i w:val="0"/>
                <w:color w:val="333333"/>
                <w:sz w:val="19"/>
              </w:rPr>
              <w:t xml:space="preserve">• </w:t>
            </w:r>
            <w:r>
              <w:rPr>
                <w:rFonts w:ascii="Archivo" w:hAnsi="Archivo"/>
                <w:b w:val="0"/>
                <w:i w:val="0"/>
                <w:color w:val="333333"/>
                <w:sz w:val="19"/>
              </w:rPr>
              <w:t>No revenue, no offset: a pure line-item expense</w:t>
            </w:r>
          </w:p>
        </w:tc>
        <w:tc>
          <w:tcPr>
            <w:tcW w:type="dxa" w:w="4824"/>
            <w:shd w:val="clear" w:color="auto" w:fill="F5F7C9"/>
            <w:tcBorders>
              <w:top w:val="single" w:sz="4" w:color="E5DC80"/>
              <w:bottom w:val="single" w:sz="4" w:color="E5DC80"/>
              <w:left w:val="single" w:sz="4" w:color="E5DC80"/>
              <w:right w:val="single" w:sz="4" w:color="E5DC80"/>
            </w:tcBorders>
            <w:vAlign w:val="top"/>
          </w:tcPr>
          <w:p>
            <w:pPr>
              <w:spacing w:before="160"/>
            </w:pPr>
            <w:r>
              <w:rPr>
                <w:rFonts w:ascii="Archivo" w:hAnsi="Archivo"/>
                <w:b/>
                <w:i w:val="0"/>
                <w:color w:val="B89A00"/>
                <w:sz w:val="17"/>
              </w:rPr>
              <w:t>AFTER · JULY (FIRST FULL MONTH PRICED)</w:t>
            </w:r>
          </w:p>
          <w:p>
            <w:r>
              <w:rPr>
                <w:rFonts w:ascii="Archivo" w:hAnsi="Archivo"/>
                <w:b/>
                <w:i w:val="0"/>
                <w:color w:val="B89A00"/>
                <w:sz w:val="36"/>
              </w:rPr>
              <w:t>+$491</w:t>
            </w:r>
          </w:p>
          <w:p>
            <w:pPr>
              <w:spacing w:after="120"/>
            </w:pPr>
            <w:r>
              <w:rPr>
                <w:rFonts w:ascii="Archivo" w:hAnsi="Archivo"/>
                <w:b w:val="0"/>
                <w:i w:val="0"/>
                <w:color w:val="666666"/>
                <w:sz w:val="17"/>
              </w:rPr>
              <w:t>31 days, self-funding and then some</w:t>
            </w:r>
          </w:p>
          <w:p>
            <w:pPr>
              <w:spacing w:after="80"/>
            </w:pPr>
            <w:r>
              <w:rPr>
                <w:rFonts w:ascii="Archivo" w:hAnsi="Archivo"/>
                <w:b w:val="0"/>
                <w:i w:val="0"/>
                <w:color w:val="333333"/>
                <w:sz w:val="19"/>
              </w:rPr>
              <w:t xml:space="preserve">• </w:t>
            </w:r>
            <w:r>
              <w:rPr>
                <w:rFonts w:ascii="Archivo" w:hAnsi="Archivo"/>
                <w:b w:val="0"/>
                <w:i w:val="0"/>
                <w:color w:val="333333"/>
                <w:sz w:val="19"/>
              </w:rPr>
              <w:t>83 sessions, $789 revenue collected from drivers</w:t>
            </w:r>
          </w:p>
          <w:p>
            <w:pPr>
              <w:spacing w:after="80"/>
            </w:pPr>
            <w:r>
              <w:rPr>
                <w:rFonts w:ascii="Archivo" w:hAnsi="Archivo"/>
                <w:b w:val="0"/>
                <w:i w:val="0"/>
                <w:color w:val="333333"/>
                <w:sz w:val="19"/>
              </w:rPr>
              <w:t xml:space="preserve">• </w:t>
            </w:r>
            <w:r>
              <w:rPr>
                <w:rFonts w:ascii="Archivo" w:hAnsi="Archivo"/>
                <w:b w:val="0"/>
                <w:i w:val="0"/>
                <w:color w:val="333333"/>
                <w:sz w:val="19"/>
              </w:rPr>
              <w:t>Electricity bill ($251) and fees ($48) fully covered by that revenue</w:t>
            </w:r>
          </w:p>
          <w:p>
            <w:pPr>
              <w:spacing w:after="160"/>
            </w:pPr>
            <w:r>
              <w:rPr>
                <w:rFonts w:ascii="Archivo" w:hAnsi="Archivo"/>
                <w:b w:val="0"/>
                <w:i w:val="0"/>
                <w:color w:val="333333"/>
                <w:sz w:val="19"/>
              </w:rPr>
              <w:t xml:space="preserve">• </w:t>
            </w:r>
            <w:r>
              <w:rPr>
                <w:rFonts w:ascii="Archivo" w:hAnsi="Archivo"/>
                <w:b w:val="0"/>
                <w:i w:val="0"/>
                <w:color w:val="333333"/>
                <w:sz w:val="19"/>
              </w:rPr>
              <w:t>Pikes Peak paid $98 as a parking-spot licensing fee for hosting the chargers</w:t>
            </w:r>
          </w:p>
        </w:tc>
      </w:tr>
    </w:tbl>
    <w:p>
      <w:pPr>
        <w:spacing w:after="80"/>
      </w:pPr>
    </w:p>
    <w:tbl>
      <w:tblPr>
        <w:tblW w:type="auto" w:w="0"/>
        <w:tblLayout w:type="autofit"/>
        <w:tblLook w:firstColumn="1" w:firstRow="1" w:lastColumn="0" w:lastRow="0" w:noHBand="0" w:noVBand="1" w:val="04A0"/>
      </w:tblPr>
      <w:tblGrid>
        <w:gridCol w:w="2412"/>
        <w:gridCol w:w="2412"/>
        <w:gridCol w:w="2412"/>
        <w:gridCol w:w="2412"/>
      </w:tblGrid>
      <w:tr>
        <w:tc>
          <w:tcPr>
            <w:tcW w:type="dxa" w:w="2412"/>
            <w:shd w:val="clear" w:color="auto" w:fill="F2F2F2"/>
            <w:tcBorders>
              <w:top w:val="single" w:sz="4" w:color="D9D9D9"/>
              <w:bottom w:val="single" w:sz="4" w:color="D9D9D9"/>
              <w:left w:val="single" w:sz="4" w:color="D9D9D9"/>
              <w:right w:val="single" w:sz="4" w:color="D9D9D9"/>
            </w:tcBorders>
            <w:vAlign w:val="top"/>
          </w:tcPr>
          <w:p>
            <w:pPr>
              <w:spacing w:before="120"/>
            </w:pPr>
            <w:r>
              <w:rPr>
                <w:rFonts w:ascii="Archivo" w:hAnsi="Archivo"/>
                <w:b/>
                <w:i w:val="0"/>
                <w:color w:val="B89A00"/>
                <w:sz w:val="16"/>
              </w:rPr>
              <w:t>OWNER · REVENUE</w:t>
            </w:r>
          </w:p>
          <w:p>
            <w:r>
              <w:rPr>
                <w:rFonts w:ascii="Archivo" w:hAnsi="Archivo"/>
                <w:b/>
                <w:i w:val="0"/>
                <w:color w:val="1B1B1B"/>
                <w:sz w:val="34"/>
              </w:rPr>
              <w:t>$603</w:t>
            </w:r>
          </w:p>
          <w:p>
            <w:pPr>
              <w:spacing w:after="120"/>
            </w:pPr>
            <w:r>
              <w:rPr>
                <w:rFonts w:ascii="Archivo" w:hAnsi="Archivo"/>
                <w:b w:val="0"/>
                <w:i w:val="0"/>
                <w:color w:val="666666"/>
                <w:sz w:val="16"/>
              </w:rPr>
              <w:t>net revenue since tenant pricing began (Jun 22 – Jul 31), electricity covered, plus a licensing fee</w:t>
            </w:r>
          </w:p>
        </w:tc>
        <w:tc>
          <w:tcPr>
            <w:tcW w:type="dxa" w:w="2412"/>
            <w:shd w:val="clear" w:color="auto" w:fill="F2F2F2"/>
            <w:tcBorders>
              <w:top w:val="single" w:sz="4" w:color="D9D9D9"/>
              <w:bottom w:val="single" w:sz="4" w:color="D9D9D9"/>
              <w:left w:val="single" w:sz="4" w:color="D9D9D9"/>
              <w:right w:val="single" w:sz="4" w:color="D9D9D9"/>
            </w:tcBorders>
            <w:vAlign w:val="top"/>
          </w:tcPr>
          <w:p>
            <w:pPr>
              <w:spacing w:before="120"/>
            </w:pPr>
            <w:r>
              <w:rPr>
                <w:rFonts w:ascii="Archivo" w:hAnsi="Archivo"/>
                <w:b/>
                <w:i w:val="0"/>
                <w:color w:val="B89A00"/>
                <w:sz w:val="16"/>
              </w:rPr>
              <w:t>OWNER · BILL IMPACT</w:t>
            </w:r>
          </w:p>
          <w:p>
            <w:r>
              <w:rPr>
                <w:rFonts w:ascii="Archivo" w:hAnsi="Archivo"/>
                <w:b/>
                <w:i w:val="0"/>
                <w:color w:val="1B1B1B"/>
                <w:sz w:val="34"/>
              </w:rPr>
              <w:t>2.3%+</w:t>
            </w:r>
          </w:p>
          <w:p>
            <w:pPr>
              <w:spacing w:after="120"/>
            </w:pPr>
            <w:r>
              <w:rPr>
                <w:rFonts w:ascii="Archivo" w:hAnsi="Archivo"/>
                <w:b w:val="0"/>
                <w:i w:val="0"/>
                <w:color w:val="666666"/>
                <w:sz w:val="16"/>
              </w:rPr>
              <w:t>guaranteed savings from shifting on-peak charging off-peak, 64 days, up to 39% best case</w:t>
            </w:r>
          </w:p>
        </w:tc>
        <w:tc>
          <w:tcPr>
            <w:tcW w:type="dxa" w:w="2412"/>
            <w:shd w:val="clear" w:color="auto" w:fill="F2F2F2"/>
            <w:tcBorders>
              <w:top w:val="single" w:sz="4" w:color="D9D9D9"/>
              <w:bottom w:val="single" w:sz="4" w:color="D9D9D9"/>
              <w:left w:val="single" w:sz="4" w:color="D9D9D9"/>
              <w:right w:val="single" w:sz="4" w:color="D9D9D9"/>
            </w:tcBorders>
            <w:vAlign w:val="top"/>
          </w:tcPr>
          <w:p>
            <w:pPr>
              <w:spacing w:before="120"/>
            </w:pPr>
            <w:r>
              <w:rPr>
                <w:rFonts w:ascii="Archivo" w:hAnsi="Archivo"/>
                <w:b/>
                <w:i w:val="0"/>
                <w:color w:val="B89A00"/>
                <w:sz w:val="16"/>
              </w:rPr>
              <w:t>DRIVERS · BEHAVIOR</w:t>
            </w:r>
          </w:p>
          <w:p>
            <w:r>
              <w:rPr>
                <w:rFonts w:ascii="Archivo" w:hAnsi="Archivo"/>
                <w:b/>
                <w:i w:val="0"/>
                <w:color w:val="1B1B1B"/>
                <w:sz w:val="34"/>
              </w:rPr>
              <w:t>73%→55%</w:t>
            </w:r>
          </w:p>
          <w:p>
            <w:pPr>
              <w:spacing w:after="120"/>
            </w:pPr>
            <w:r>
              <w:rPr>
                <w:rFonts w:ascii="Archivo" w:hAnsi="Archivo"/>
                <w:b w:val="0"/>
                <w:i w:val="0"/>
                <w:color w:val="666666"/>
                <w:sz w:val="16"/>
              </w:rPr>
              <w:t>share of weekday sessions in the peak-price window, before vs. after pricing</w:t>
            </w:r>
          </w:p>
        </w:tc>
        <w:tc>
          <w:tcPr>
            <w:tcW w:type="dxa" w:w="2412"/>
            <w:shd w:val="clear" w:color="auto" w:fill="F2F2F2"/>
            <w:tcBorders>
              <w:top w:val="single" w:sz="4" w:color="D9D9D9"/>
              <w:bottom w:val="single" w:sz="4" w:color="D9D9D9"/>
              <w:left w:val="single" w:sz="4" w:color="D9D9D9"/>
              <w:right w:val="single" w:sz="4" w:color="D9D9D9"/>
            </w:tcBorders>
            <w:vAlign w:val="top"/>
          </w:tcPr>
          <w:p>
            <w:pPr>
              <w:spacing w:before="120"/>
            </w:pPr>
            <w:r>
              <w:rPr>
                <w:rFonts w:ascii="Archivo" w:hAnsi="Archivo"/>
                <w:b/>
                <w:i w:val="0"/>
                <w:color w:val="B89A00"/>
                <w:sz w:val="16"/>
              </w:rPr>
              <w:t>UTILITY · PEAK LOAD</w:t>
            </w:r>
          </w:p>
          <w:p>
            <w:r>
              <w:rPr>
                <w:rFonts w:ascii="Archivo" w:hAnsi="Archivo"/>
                <w:b/>
                <w:i w:val="0"/>
                <w:color w:val="1B1B1B"/>
                <w:sz w:val="34"/>
              </w:rPr>
              <w:t>0%</w:t>
            </w:r>
          </w:p>
          <w:p>
            <w:pPr>
              <w:spacing w:after="120"/>
            </w:pPr>
            <w:r>
              <w:rPr>
                <w:rFonts w:ascii="Archivo" w:hAnsi="Archivo"/>
                <w:b w:val="0"/>
                <w:i w:val="0"/>
                <w:color w:val="666666"/>
                <w:sz w:val="16"/>
              </w:rPr>
              <w:t>of 15-min intervals had all 4 ports charging at once, across 71 days measured</w:t>
            </w:r>
          </w:p>
        </w:tc>
      </w:tr>
    </w:tbl>
    <w:p>
      <w:pPr>
        <w:spacing w:before="160" w:after="0"/>
      </w:pPr>
      <w:r>
        <w:rPr>
          <w:rFonts w:ascii="Archivo" w:hAnsi="Archivo"/>
          <w:b w:val="0"/>
          <w:i/>
          <w:color w:val="8F8F8F"/>
          <w:sz w:val="18"/>
        </w:rPr>
        <w:t>All figures above are measured from real 15-minute CSU meter readings and CMS session records, not projections.</w:t>
      </w:r>
    </w:p>
    <w:p>
      <w:pPr>
        <w:spacing w:after="80"/>
      </w:pPr>
    </w:p>
    <w:tbl>
      <w:tblPr>
        <w:tblW w:type="auto" w:w="0"/>
        <w:tblLayout w:type="autofit"/>
        <w:tblLook w:firstColumn="1" w:firstRow="1" w:lastColumn="0" w:lastRow="0" w:noHBand="0" w:noVBand="1" w:val="04A0"/>
      </w:tblPr>
      <w:tblGrid>
        <w:gridCol w:w="4824"/>
        <w:gridCol w:w="4824"/>
      </w:tblGrid>
      <w:tr>
        <w:tc>
          <w:tcPr>
            <w:tcW w:type="dxa" w:w="4824"/>
            <w:shd w:val="clear" w:color="auto" w:fill="F2F2F2"/>
            <w:tcBorders>
              <w:top w:val="single" w:sz="4" w:color="D9D9D9"/>
              <w:bottom w:val="single" w:sz="4" w:color="D9D9D9"/>
              <w:left w:val="single" w:sz="4" w:color="D9D9D9"/>
              <w:right w:val="single" w:sz="4" w:color="D9D9D9"/>
            </w:tcBorders>
            <w:vAlign w:val="top"/>
          </w:tcPr>
          <w:p>
            <w:pPr>
              <w:spacing w:before="120"/>
            </w:pPr>
            <w:r>
              <w:rPr>
                <w:rFonts w:ascii="Archivo" w:hAnsi="Archivo"/>
                <w:b/>
                <w:i w:val="0"/>
                <w:color w:val="B89A00"/>
                <w:sz w:val="16"/>
              </w:rPr>
              <w:t>PROJECTED ANNUAL REVENUE</w:t>
            </w:r>
          </w:p>
          <w:p>
            <w:r>
              <w:rPr>
                <w:rFonts w:ascii="Archivo" w:hAnsi="Archivo"/>
                <w:b/>
                <w:i w:val="0"/>
                <w:color w:val="1B1B1B"/>
                <w:sz w:val="34"/>
              </w:rPr>
              <w:t>$5,502</w:t>
            </w:r>
          </w:p>
          <w:p>
            <w:pPr>
              <w:spacing w:after="120"/>
            </w:pPr>
            <w:r>
              <w:rPr>
                <w:rFonts w:ascii="Archivo" w:hAnsi="Archivo"/>
                <w:b w:val="0"/>
                <w:i w:val="0"/>
                <w:color w:val="666666"/>
                <w:sz w:val="16"/>
              </w:rPr>
              <w:t>extrapolated from the measured Jun 22 – Jul 31 net-revenue run rate over a full year, not a guarantee</w:t>
            </w:r>
          </w:p>
        </w:tc>
        <w:tc>
          <w:tcPr>
            <w:tcW w:type="dxa" w:w="4824"/>
            <w:shd w:val="clear" w:color="auto" w:fill="F2F2F2"/>
            <w:tcBorders>
              <w:top w:val="single" w:sz="4" w:color="D9D9D9"/>
              <w:bottom w:val="single" w:sz="4" w:color="D9D9D9"/>
              <w:left w:val="single" w:sz="4" w:color="D9D9D9"/>
              <w:right w:val="single" w:sz="4" w:color="D9D9D9"/>
            </w:tcBorders>
            <w:vAlign w:val="top"/>
          </w:tcPr>
          <w:p>
            <w:pPr>
              <w:spacing w:before="120"/>
            </w:pPr>
            <w:r>
              <w:rPr>
                <w:rFonts w:ascii="Archivo" w:hAnsi="Archivo"/>
                <w:b/>
                <w:i w:val="0"/>
                <w:color w:val="B89A00"/>
                <w:sz w:val="16"/>
              </w:rPr>
              <w:t>PROJECTED ANNUAL BILL SAVINGS</w:t>
            </w:r>
          </w:p>
          <w:p>
            <w:r>
              <w:rPr>
                <w:rFonts w:ascii="Archivo" w:hAnsi="Archivo"/>
                <w:b/>
                <w:i w:val="0"/>
                <w:color w:val="1B1B1B"/>
                <w:sz w:val="34"/>
              </w:rPr>
              <w:t>$103–$1,745</w:t>
            </w:r>
          </w:p>
          <w:p>
            <w:pPr>
              <w:spacing w:after="120"/>
            </w:pPr>
            <w:r>
              <w:rPr>
                <w:rFonts w:ascii="Archivo" w:hAnsi="Archivo"/>
                <w:b w:val="0"/>
                <w:i w:val="0"/>
                <w:color w:val="666666"/>
                <w:sz w:val="16"/>
              </w:rPr>
              <w:t>the same off-peak-shift scenario (guaranteed to best case), annualized from the 64-day measured window</w:t>
            </w:r>
          </w:p>
        </w:tc>
      </w:tr>
    </w:tbl>
    <w:p>
      <w:pPr>
        <w:spacing w:before="160" w:after="0"/>
      </w:pPr>
      <w:r>
        <w:rPr>
          <w:rFonts w:ascii="Archivo" w:hAnsi="Archivo"/>
          <w:b w:val="0"/>
          <w:i/>
          <w:color w:val="8F8F8F"/>
          <w:sz w:val="18"/>
        </w:rPr>
        <w:t>The two figures above are projections, extrapolated from measured data to a full year; every other figure in this report is measured, not projected.</w:t>
      </w:r>
    </w:p>
    <w:p>
      <w:r>
        <w:br w:type="page"/>
      </w:r>
    </w:p>
    <w:p>
      <w:pPr>
        <w:spacing w:before="0" w:after="40"/>
      </w:pPr>
      <w:r>
        <w:rPr>
          <w:rFonts w:ascii="Archivo" w:hAnsi="Archivo"/>
          <w:b/>
          <w:i w:val="0"/>
          <w:color w:val="8F8F8F"/>
          <w:sz w:val="18"/>
        </w:rPr>
        <w:t>01 · OWNER</w:t>
      </w:r>
    </w:p>
    <w:p>
      <w:pPr>
        <w:spacing w:after="80"/>
      </w:pPr>
      <w:r>
        <w:rPr>
          <w:rFonts w:ascii="Archivo" w:hAnsi="Archivo"/>
          <w:b/>
          <w:i w:val="0"/>
          <w:color w:val="1B1B1B"/>
          <w:sz w:val="32"/>
        </w:rPr>
        <w:t>From a pure cost to a covered bill, plus a licensing fee</w:t>
      </w:r>
    </w:p>
    <w:p>
      <w:pPr>
        <w:spacing w:after="200"/>
      </w:pPr>
      <w:r>
        <w:rPr>
          <w:rFonts w:ascii="Archivo" w:hAnsi="Archivo"/>
          <w:b/>
          <w:i w:val="0"/>
          <w:color w:val="B89A00"/>
          <w:sz w:val="44"/>
        </w:rPr>
        <w:t>$603</w:t>
      </w:r>
    </w:p>
    <w:p>
      <w:pPr>
        <w:spacing w:before="0" w:after="160"/>
      </w:pPr>
      <w:r>
        <w:rPr>
          <w:rFonts w:ascii="Archivo" w:hAnsi="Archivo"/>
          <w:b w:val="0"/>
          <w:i w:val="0"/>
          <w:color w:val="333333"/>
          <w:sz w:val="21"/>
        </w:rPr>
        <w:t>Before June 22, every charging session at the property was free, a tenant amenity with no revenue, and the property absorbed the full electricity cost out of pocket. Once charger pricing went live ($0.35/kWh weekday 11am–8pm, $0.25/kWh all other times), that flipped: the program now pays its own electricity bill in full, and Pikes Peak collects a licensing fee on top for hosting the chargers, not a shared “profit,” but a fee for the parking spots, the same way a property earns rent from any other on-site amenity.</w:t>
      </w:r>
    </w:p>
    <w:tbl>
      <w:tblPr>
        <w:tblW w:type="auto" w:w="0"/>
        <w:tblLayout w:type="autofit"/>
        <w:tblLook w:firstColumn="1" w:firstRow="1" w:lastColumn="0" w:lastRow="0" w:noHBand="0" w:noVBand="1" w:val="04A0"/>
      </w:tblPr>
      <w:tblGrid>
        <w:gridCol w:w="4824"/>
        <w:gridCol w:w="4824"/>
      </w:tblGrid>
      <w:tr>
        <w:tc>
          <w:tcPr>
            <w:tcW w:type="dxa" w:w="4824"/>
            <w:tcBorders>
              <w:bottom w:val="single" w:sz="4" w:color="D9D9D9"/>
            </w:tcBorders>
            <w:vAlign w:val="center"/>
          </w:tcPr>
          <w:p>
            <w:pPr>
              <w:spacing w:before="80" w:after="80"/>
            </w:pPr>
            <w:r>
              <w:rPr>
                <w:rFonts w:ascii="Archivo" w:hAnsi="Archivo"/>
                <w:b w:val="0"/>
                <w:i w:val="0"/>
                <w:color w:val="666666"/>
                <w:sz w:val="20"/>
              </w:rPr>
              <w:t>Before pricing (Jun 8–21, free to drivers)</w:t>
            </w:r>
          </w:p>
        </w:tc>
        <w:tc>
          <w:tcPr>
            <w:tcW w:type="dxa" w:w="4824"/>
            <w:tcBorders>
              <w:bottom w:val="single" w:sz="4" w:color="D9D9D9"/>
            </w:tcBorders>
            <w:vAlign w:val="center"/>
          </w:tcPr>
          <w:p>
            <w:pPr>
              <w:spacing w:before="80" w:after="80"/>
              <w:jc w:val="right"/>
            </w:pPr>
            <w:r>
              <w:rPr>
                <w:rFonts w:ascii="Archivo" w:hAnsi="Archivo"/>
                <w:b/>
                <w:i w:val="0"/>
                <w:color w:val="1B1B1B"/>
                <w:sz w:val="20"/>
              </w:rPr>
              <w:t>82 sessions · $0 revenue · $202 electricity cost, 100% on the property</w:t>
            </w:r>
          </w:p>
        </w:tc>
      </w:tr>
      <w:tr>
        <w:tc>
          <w:tcPr>
            <w:tcW w:type="dxa" w:w="4824"/>
            <w:tcBorders>
              <w:bottom w:val="single" w:sz="4" w:color="D9D9D9"/>
            </w:tcBorders>
            <w:vAlign w:val="center"/>
          </w:tcPr>
          <w:p>
            <w:pPr>
              <w:spacing w:before="80" w:after="80"/>
            </w:pPr>
            <w:r>
              <w:rPr>
                <w:rFonts w:ascii="Archivo" w:hAnsi="Archivo"/>
                <w:b w:val="0"/>
                <w:i w:val="0"/>
                <w:color w:val="666666"/>
                <w:sz w:val="20"/>
              </w:rPr>
              <w:t>July (first full month under pricing)</w:t>
            </w:r>
          </w:p>
        </w:tc>
        <w:tc>
          <w:tcPr>
            <w:tcW w:type="dxa" w:w="4824"/>
            <w:tcBorders>
              <w:bottom w:val="single" w:sz="4" w:color="D9D9D9"/>
            </w:tcBorders>
            <w:vAlign w:val="center"/>
          </w:tcPr>
          <w:p>
            <w:pPr>
              <w:spacing w:before="80" w:after="80"/>
              <w:jc w:val="right"/>
            </w:pPr>
            <w:r>
              <w:rPr>
                <w:rFonts w:ascii="Archivo" w:hAnsi="Archivo"/>
                <w:b/>
                <w:i w:val="0"/>
                <w:color w:val="1B1B1B"/>
                <w:sz w:val="20"/>
              </w:rPr>
              <w:t>83 sessions · 2,918 kWh · $789 revenue · $251 electricity covered · $491 net</w:t>
            </w:r>
          </w:p>
        </w:tc>
      </w:tr>
      <w:tr>
        <w:tc>
          <w:tcPr>
            <w:tcW w:type="dxa" w:w="4824"/>
            <w:tcBorders>
              <w:bottom w:val="single" w:sz="4" w:color="D9D9D9"/>
            </w:tcBorders>
            <w:vAlign w:val="center"/>
          </w:tcPr>
          <w:p>
            <w:pPr>
              <w:spacing w:before="80" w:after="80"/>
            </w:pPr>
            <w:r>
              <w:rPr>
                <w:rFonts w:ascii="Archivo" w:hAnsi="Archivo"/>
                <w:b w:val="0"/>
                <w:i w:val="0"/>
                <w:color w:val="666666"/>
                <w:sz w:val="20"/>
              </w:rPr>
              <w:t>Pikes Peak's licensing fee (July)</w:t>
            </w:r>
          </w:p>
        </w:tc>
        <w:tc>
          <w:tcPr>
            <w:tcW w:type="dxa" w:w="4824"/>
            <w:tcBorders>
              <w:bottom w:val="single" w:sz="4" w:color="D9D9D9"/>
            </w:tcBorders>
            <w:vAlign w:val="center"/>
          </w:tcPr>
          <w:p>
            <w:pPr>
              <w:spacing w:before="80" w:after="80"/>
              <w:jc w:val="right"/>
            </w:pPr>
            <w:r>
              <w:rPr>
                <w:rFonts w:ascii="Archivo" w:hAnsi="Archivo"/>
                <w:b/>
                <w:i w:val="0"/>
                <w:color w:val="1B1B1B"/>
                <w:sz w:val="20"/>
              </w:rPr>
              <w:t>$98: a fee for hosting the chargers, not a profit split</w:t>
            </w:r>
          </w:p>
        </w:tc>
      </w:tr>
      <w:tr>
        <w:tc>
          <w:tcPr>
            <w:tcW w:type="dxa" w:w="4824"/>
            <w:tcBorders>
              <w:bottom w:val="single" w:sz="4" w:color="D9D9D9"/>
            </w:tcBorders>
            <w:vAlign w:val="center"/>
          </w:tcPr>
          <w:p>
            <w:pPr>
              <w:spacing w:before="80" w:after="80"/>
            </w:pPr>
            <w:r>
              <w:rPr>
                <w:rFonts w:ascii="Archivo" w:hAnsi="Archivo"/>
                <w:b w:val="0"/>
                <w:i w:val="0"/>
                <w:color w:val="666666"/>
                <w:sz w:val="20"/>
              </w:rPr>
              <w:t>TEC's share (July)</w:t>
            </w:r>
          </w:p>
        </w:tc>
        <w:tc>
          <w:tcPr>
            <w:tcW w:type="dxa" w:w="4824"/>
            <w:tcBorders>
              <w:bottom w:val="single" w:sz="4" w:color="D9D9D9"/>
            </w:tcBorders>
            <w:vAlign w:val="center"/>
          </w:tcPr>
          <w:p>
            <w:pPr>
              <w:spacing w:before="80" w:after="80"/>
              <w:jc w:val="right"/>
            </w:pPr>
            <w:r>
              <w:rPr>
                <w:rFonts w:ascii="Archivo" w:hAnsi="Archivo"/>
                <w:b/>
                <w:i w:val="0"/>
                <w:color w:val="1B1B1B"/>
                <w:sz w:val="20"/>
              </w:rPr>
              <w:t>$392: covers TEC's own operating costs and margin</w:t>
            </w:r>
          </w:p>
        </w:tc>
      </w:tr>
      <w:tr>
        <w:tc>
          <w:tcPr>
            <w:tcW w:type="dxa" w:w="4824"/>
            <w:tcBorders>
              <w:bottom w:val="single" w:sz="4" w:color="D9D9D9"/>
            </w:tcBorders>
            <w:vAlign w:val="center"/>
          </w:tcPr>
          <w:p>
            <w:pPr>
              <w:spacing w:before="80" w:after="80"/>
            </w:pPr>
            <w:r>
              <w:rPr>
                <w:rFonts w:ascii="Archivo" w:hAnsi="Archivo"/>
                <w:b w:val="0"/>
                <w:i w:val="0"/>
                <w:color w:val="666666"/>
                <w:sz w:val="20"/>
              </w:rPr>
              <w:t>Projected annual net revenue</w:t>
            </w:r>
          </w:p>
        </w:tc>
        <w:tc>
          <w:tcPr>
            <w:tcW w:type="dxa" w:w="4824"/>
            <w:tcBorders>
              <w:bottom w:val="single" w:sz="4" w:color="D9D9D9"/>
            </w:tcBorders>
            <w:vAlign w:val="center"/>
          </w:tcPr>
          <w:p>
            <w:pPr>
              <w:spacing w:before="80" w:after="80"/>
              <w:jc w:val="right"/>
            </w:pPr>
            <w:r>
              <w:rPr>
                <w:rFonts w:ascii="Archivo" w:hAnsi="Archivo"/>
                <w:b/>
                <w:i w:val="0"/>
                <w:color w:val="1B1B1B"/>
                <w:sz w:val="20"/>
              </w:rPr>
              <w:t>$5,502, extrapolated from the measured run rate</w:t>
            </w:r>
          </w:p>
        </w:tc>
      </w:tr>
    </w:tbl>
    <w:tbl>
      <w:tblPr>
        <w:tblW w:type="auto" w:w="0"/>
        <w:tblLook w:firstColumn="1" w:firstRow="1" w:lastColumn="0" w:lastRow="0" w:noHBand="0" w:noVBand="1" w:val="04A0"/>
      </w:tblPr>
      <w:tblGrid>
        <w:gridCol w:w="9648"/>
      </w:tblGrid>
      <w:tr>
        <w:tc>
          <w:tcPr>
            <w:tcW w:type="dxa" w:w="9648"/>
            <w:shd w:val="clear" w:color="auto" w:fill="F5F7C9"/>
            <w:tcBorders>
              <w:top w:val="single" w:sz="4" w:color="E5DC80"/>
              <w:bottom w:val="single" w:sz="4" w:color="E5DC80"/>
              <w:left w:val="single" w:sz="4" w:color="E5DC80"/>
              <w:right w:val="single" w:sz="4" w:color="E5DC80"/>
            </w:tcBorders>
          </w:tcPr>
          <w:p>
            <w:pPr>
              <w:spacing w:before="200"/>
            </w:pPr>
            <w:r>
              <w:rPr>
                <w:rFonts w:ascii="Archivo" w:hAnsi="Archivo"/>
                <w:b/>
                <w:i w:val="0"/>
                <w:color w:val="B89A00"/>
                <w:sz w:val="17"/>
              </w:rPr>
              <w:t>WHY IT MATTERS TO OWNER</w:t>
            </w:r>
          </w:p>
          <w:p>
            <w:pPr>
              <w:spacing w:after="200"/>
            </w:pPr>
            <w:r>
              <w:rPr>
                <w:rFonts w:ascii="Archivo" w:hAnsi="Archivo"/>
                <w:b w:val="0"/>
                <w:i w:val="0"/>
                <w:color w:val="333333"/>
                <w:sz w:val="20"/>
              </w:rPr>
              <w:t>The electricity cost isn't estimated after the fact; it's calculated four different documented ways from the same measured data (bundled rate, time-of-use energy, and two demand-charge allocation methods), so the number an owner sees is auditable, not a vendor's promise. And the property's cut is framed as a licensing fee for hosting the chargers, a fee for the parking spots, not a stake in the charging business itself.</w:t>
            </w:r>
          </w:p>
        </w:tc>
      </w:tr>
    </w:tbl>
    <w:p>
      <w:pPr>
        <w:spacing w:before="0" w:after="80"/>
      </w:pPr>
    </w:p>
    <w:p>
      <w:pPr>
        <w:spacing w:before="0" w:after="40"/>
      </w:pPr>
      <w:r>
        <w:rPr>
          <w:rFonts w:ascii="Archivo" w:hAnsi="Archivo"/>
          <w:b/>
          <w:i w:val="0"/>
          <w:color w:val="8F8F8F"/>
          <w:sz w:val="18"/>
        </w:rPr>
        <w:t>02 · OWNER</w:t>
      </w:r>
    </w:p>
    <w:p>
      <w:pPr>
        <w:spacing w:after="80"/>
      </w:pPr>
      <w:r>
        <w:rPr>
          <w:rFonts w:ascii="Archivo" w:hAnsi="Archivo"/>
          <w:b/>
          <w:i w:val="0"/>
          <w:color w:val="1B1B1B"/>
          <w:sz w:val="32"/>
        </w:rPr>
        <w:t>Shifting charging off-peak lowers the building's own bill</w:t>
      </w:r>
    </w:p>
    <w:p>
      <w:pPr>
        <w:spacing w:after="200"/>
      </w:pPr>
      <w:r>
        <w:rPr>
          <w:rFonts w:ascii="Archivo" w:hAnsi="Archivo"/>
          <w:b/>
          <w:i w:val="0"/>
          <w:color w:val="B89A00"/>
          <w:sz w:val="44"/>
        </w:rPr>
        <w:t>2.3%–39%</w:t>
      </w:r>
    </w:p>
    <w:p>
      <w:pPr>
        <w:spacing w:before="0" w:after="160"/>
      </w:pPr>
      <w:r>
        <w:rPr>
          <w:rFonts w:ascii="Archivo" w:hAnsi="Archivo"/>
          <w:b w:val="0"/>
          <w:i w:val="0"/>
          <w:color w:val="333333"/>
          <w:sz w:val="21"/>
        </w:rPr>
        <w:t>CSU bills on-peak energy at nearly double the off-peak rate ($0.0459/kWh vs. $0.0254/kWh), and demand charges are assessed separately for each window. Simulating 100% of on-peak charging moved to off-peak hours, over the same 64-day metered window, shows a guaranteed floor and a realistic upside, as a share of the chargers' own electricity cost:</w:t>
      </w:r>
    </w:p>
    <w:tbl>
      <w:tblPr>
        <w:tblW w:type="auto" w:w="0"/>
        <w:tblLayout w:type="autofit"/>
        <w:tblLook w:firstColumn="1" w:firstRow="1" w:lastColumn="0" w:lastRow="0" w:noHBand="0" w:noVBand="1" w:val="04A0"/>
      </w:tblPr>
      <w:tblGrid>
        <w:gridCol w:w="4824"/>
        <w:gridCol w:w="4824"/>
      </w:tblGrid>
      <w:tr>
        <w:tc>
          <w:tcPr>
            <w:tcW w:type="dxa" w:w="4824"/>
            <w:tcBorders>
              <w:bottom w:val="single" w:sz="4" w:color="D9D9D9"/>
            </w:tcBorders>
            <w:vAlign w:val="center"/>
          </w:tcPr>
          <w:p>
            <w:pPr>
              <w:spacing w:before="80" w:after="80"/>
            </w:pPr>
            <w:r>
              <w:rPr>
                <w:rFonts w:ascii="Archivo" w:hAnsi="Archivo"/>
                <w:b w:val="0"/>
                <w:i w:val="0"/>
                <w:color w:val="666666"/>
                <w:sz w:val="20"/>
              </w:rPr>
              <w:t>Guaranteed (energy rate only, no demand-peak risk)</w:t>
            </w:r>
          </w:p>
        </w:tc>
        <w:tc>
          <w:tcPr>
            <w:tcW w:type="dxa" w:w="4824"/>
            <w:tcBorders>
              <w:bottom w:val="single" w:sz="4" w:color="D9D9D9"/>
            </w:tcBorders>
            <w:vAlign w:val="center"/>
          </w:tcPr>
          <w:p>
            <w:pPr>
              <w:spacing w:before="80" w:after="80"/>
              <w:jc w:val="right"/>
            </w:pPr>
            <w:r>
              <w:rPr>
                <w:rFonts w:ascii="Archivo" w:hAnsi="Archivo"/>
                <w:b/>
                <w:i w:val="0"/>
                <w:color w:val="1B1B1B"/>
                <w:sz w:val="20"/>
              </w:rPr>
              <w:t>+2.3% saved</w:t>
            </w:r>
          </w:p>
        </w:tc>
      </w:tr>
      <w:tr>
        <w:tc>
          <w:tcPr>
            <w:tcW w:type="dxa" w:w="4824"/>
            <w:tcBorders>
              <w:bottom w:val="single" w:sz="4" w:color="D9D9D9"/>
            </w:tcBorders>
            <w:vAlign w:val="center"/>
          </w:tcPr>
          <w:p>
            <w:pPr>
              <w:spacing w:before="80" w:after="80"/>
            </w:pPr>
            <w:r>
              <w:rPr>
                <w:rFonts w:ascii="Archivo" w:hAnsi="Archivo"/>
                <w:b w:val="0"/>
                <w:i w:val="0"/>
                <w:color w:val="666666"/>
                <w:sz w:val="20"/>
              </w:rPr>
              <w:t>Best case (off-peak shift doesn't raise a new peak)</w:t>
            </w:r>
          </w:p>
        </w:tc>
        <w:tc>
          <w:tcPr>
            <w:tcW w:type="dxa" w:w="4824"/>
            <w:tcBorders>
              <w:bottom w:val="single" w:sz="4" w:color="D9D9D9"/>
            </w:tcBorders>
            <w:vAlign w:val="center"/>
          </w:tcPr>
          <w:p>
            <w:pPr>
              <w:spacing w:before="80" w:after="80"/>
              <w:jc w:val="right"/>
            </w:pPr>
            <w:r>
              <w:rPr>
                <w:rFonts w:ascii="Archivo" w:hAnsi="Archivo"/>
                <w:b/>
                <w:i w:val="0"/>
                <w:color w:val="1B1B1B"/>
                <w:sz w:val="20"/>
              </w:rPr>
              <w:t>+39.1% saved</w:t>
            </w:r>
          </w:p>
        </w:tc>
      </w:tr>
      <w:tr>
        <w:tc>
          <w:tcPr>
            <w:tcW w:type="dxa" w:w="4824"/>
            <w:tcBorders>
              <w:bottom w:val="single" w:sz="4" w:color="D9D9D9"/>
            </w:tcBorders>
            <w:vAlign w:val="center"/>
          </w:tcPr>
          <w:p>
            <w:pPr>
              <w:spacing w:before="80" w:after="80"/>
            </w:pPr>
            <w:r>
              <w:rPr>
                <w:rFonts w:ascii="Archivo" w:hAnsi="Archivo"/>
                <w:b w:val="0"/>
                <w:i w:val="0"/>
                <w:color w:val="666666"/>
                <w:sz w:val="20"/>
              </w:rPr>
              <w:t>Worst case (shift creates a new off-peak demand peak)</w:t>
            </w:r>
          </w:p>
        </w:tc>
        <w:tc>
          <w:tcPr>
            <w:tcW w:type="dxa" w:w="4824"/>
            <w:tcBorders>
              <w:bottom w:val="single" w:sz="4" w:color="D9D9D9"/>
            </w:tcBorders>
            <w:vAlign w:val="center"/>
          </w:tcPr>
          <w:p>
            <w:pPr>
              <w:spacing w:before="80" w:after="80"/>
              <w:jc w:val="right"/>
            </w:pPr>
            <w:r>
              <w:rPr>
                <w:rFonts w:ascii="Archivo" w:hAnsi="Archivo"/>
                <w:b/>
                <w:i w:val="0"/>
                <w:color w:val="B23C33"/>
                <w:sz w:val="20"/>
              </w:rPr>
              <w:t>−51.4%</w:t>
            </w:r>
          </w:p>
        </w:tc>
      </w:tr>
      <w:tr>
        <w:tc>
          <w:tcPr>
            <w:tcW w:type="dxa" w:w="4824"/>
            <w:tcBorders>
              <w:bottom w:val="single" w:sz="4" w:color="D9D9D9"/>
            </w:tcBorders>
            <w:vAlign w:val="center"/>
          </w:tcPr>
          <w:p>
            <w:pPr>
              <w:spacing w:before="80" w:after="80"/>
            </w:pPr>
            <w:r>
              <w:rPr>
                <w:rFonts w:ascii="Archivo" w:hAnsi="Archivo"/>
                <w:b w:val="0"/>
                <w:i w:val="0"/>
                <w:color w:val="666666"/>
                <w:sz w:val="20"/>
              </w:rPr>
              <w:t>Projected annual savings (guaranteed to best case)</w:t>
            </w:r>
          </w:p>
        </w:tc>
        <w:tc>
          <w:tcPr>
            <w:tcW w:type="dxa" w:w="4824"/>
            <w:tcBorders>
              <w:bottom w:val="single" w:sz="4" w:color="D9D9D9"/>
            </w:tcBorders>
            <w:vAlign w:val="center"/>
          </w:tcPr>
          <w:p>
            <w:pPr>
              <w:spacing w:before="80" w:after="80"/>
              <w:jc w:val="right"/>
            </w:pPr>
            <w:r>
              <w:rPr>
                <w:rFonts w:ascii="Archivo" w:hAnsi="Archivo"/>
                <w:b/>
                <w:i w:val="0"/>
                <w:color w:val="1B1B1B"/>
                <w:sz w:val="20"/>
              </w:rPr>
              <w:t>$103–$1,745</w:t>
            </w:r>
          </w:p>
        </w:tc>
      </w:tr>
    </w:tbl>
    <w:p>
      <w:pPr>
        <w:spacing w:before="200" w:after="80"/>
      </w:pPr>
      <w:r>
        <w:rPr>
          <w:rFonts w:ascii="Archivo" w:hAnsi="Archivo"/>
          <w:b w:val="0"/>
          <w:i w:val="0"/>
          <w:color w:val="333333"/>
          <w:sz w:val="21"/>
        </w:rPr>
        <w:t>The building's own demand rarely peaks because of the chargers: at the exact moment the property's on-peak demand hit its billed high (47.9 kW), chargers were only drawing 12.6 kW of it; chargers run during just 35% of on-peak intervals to begin with.</w:t>
      </w:r>
    </w:p>
    <w:tbl>
      <w:tblPr>
        <w:tblW w:type="auto" w:w="0"/>
        <w:tblLook w:firstColumn="1" w:firstRow="1" w:lastColumn="0" w:lastRow="0" w:noHBand="0" w:noVBand="1" w:val="04A0"/>
      </w:tblPr>
      <w:tblGrid>
        <w:gridCol w:w="9648"/>
      </w:tblGrid>
      <w:tr>
        <w:tc>
          <w:tcPr>
            <w:tcW w:type="dxa" w:w="9648"/>
            <w:shd w:val="clear" w:color="auto" w:fill="F5F7C9"/>
            <w:tcBorders>
              <w:top w:val="single" w:sz="4" w:color="E5DC80"/>
              <w:bottom w:val="single" w:sz="4" w:color="E5DC80"/>
              <w:left w:val="single" w:sz="4" w:color="E5DC80"/>
              <w:right w:val="single" w:sz="4" w:color="E5DC80"/>
            </w:tcBorders>
          </w:tcPr>
          <w:p>
            <w:pPr>
              <w:spacing w:before="200"/>
            </w:pPr>
            <w:r>
              <w:rPr>
                <w:rFonts w:ascii="Archivo" w:hAnsi="Archivo"/>
                <w:b/>
                <w:i w:val="0"/>
                <w:color w:val="B89A00"/>
                <w:sz w:val="17"/>
              </w:rPr>
              <w:t>WHY IT MATTERS TO OWNER</w:t>
            </w:r>
          </w:p>
          <w:p>
            <w:pPr>
              <w:spacing w:after="200"/>
            </w:pPr>
            <w:r>
              <w:rPr>
                <w:rFonts w:ascii="Archivo" w:hAnsi="Archivo"/>
                <w:b w:val="0"/>
                <w:i w:val="0"/>
                <w:color w:val="333333"/>
                <w:sz w:val="20"/>
              </w:rPr>
              <w:t>There's real headroom to move charging off-peak without the building fighting its own peak; the risk in the “worst case” number is manageable with basic scheduling, not a coin flip.</w:t>
            </w:r>
          </w:p>
        </w:tc>
      </w:tr>
    </w:tbl>
    <w:p>
      <w:pPr>
        <w:spacing w:before="0" w:after="80"/>
      </w:pPr>
    </w:p>
    <w:p>
      <w:r>
        <w:br w:type="page"/>
      </w:r>
    </w:p>
    <w:p>
      <w:pPr>
        <w:spacing w:before="0" w:after="40"/>
      </w:pPr>
      <w:r>
        <w:rPr>
          <w:rFonts w:ascii="Archivo" w:hAnsi="Archivo"/>
          <w:b/>
          <w:i w:val="0"/>
          <w:color w:val="8F8F8F"/>
          <w:sz w:val="18"/>
        </w:rPr>
        <w:t>03 · DRIVERS</w:t>
      </w:r>
    </w:p>
    <w:p>
      <w:pPr>
        <w:spacing w:after="80"/>
      </w:pPr>
      <w:r>
        <w:rPr>
          <w:rFonts w:ascii="Archivo" w:hAnsi="Archivo"/>
          <w:b/>
          <w:i w:val="0"/>
          <w:color w:val="1B1B1B"/>
          <w:sz w:val="32"/>
        </w:rPr>
        <w:t>Drivers actually respond to the price signal, measured not assumed</w:t>
      </w:r>
    </w:p>
    <w:p>
      <w:pPr>
        <w:spacing w:after="200"/>
      </w:pPr>
      <w:r>
        <w:rPr>
          <w:rFonts w:ascii="Archivo" w:hAnsi="Archivo"/>
          <w:b/>
          <w:i w:val="0"/>
          <w:color w:val="B89A00"/>
          <w:sz w:val="44"/>
        </w:rPr>
        <w:t>18pt shift</w:t>
      </w:r>
    </w:p>
    <w:p>
      <w:pPr>
        <w:spacing w:before="0" w:after="160"/>
      </w:pPr>
      <w:r>
        <w:rPr>
          <w:rFonts w:ascii="Archivo" w:hAnsi="Archivo"/>
          <w:b w:val="0"/>
          <w:i w:val="0"/>
          <w:color w:val="333333"/>
          <w:sz w:val="21"/>
        </w:rPr>
        <w:t>A common objection to tenant EV pricing is that drivers won't change behavior. The pre/post-pricing comparison at this property says otherwise: once a $0.35 peak / $0.25 off-peak split went live, the share of weekday charging that happened inside the expensive window dropped substantially.</w:t>
      </w:r>
    </w:p>
    <w:tbl>
      <w:tblPr>
        <w:tblW w:type="auto" w:w="0"/>
        <w:tblLayout w:type="autofit"/>
        <w:tblLook w:firstColumn="1" w:firstRow="1" w:lastColumn="0" w:lastRow="0" w:noHBand="0" w:noVBand="1" w:val="04A0"/>
      </w:tblPr>
      <w:tblGrid>
        <w:gridCol w:w="4824"/>
        <w:gridCol w:w="4824"/>
      </w:tblGrid>
      <w:tr>
        <w:tc>
          <w:tcPr>
            <w:tcW w:type="dxa" w:w="4824"/>
            <w:tcBorders>
              <w:bottom w:val="single" w:sz="4" w:color="D9D9D9"/>
            </w:tcBorders>
            <w:vAlign w:val="center"/>
          </w:tcPr>
          <w:p>
            <w:pPr>
              <w:spacing w:before="80" w:after="80"/>
            </w:pPr>
            <w:r>
              <w:rPr>
                <w:rFonts w:ascii="Archivo" w:hAnsi="Archivo"/>
                <w:b w:val="0"/>
                <w:i w:val="0"/>
                <w:color w:val="666666"/>
                <w:sz w:val="20"/>
              </w:rPr>
              <w:t>Weekday sessions in the $0.35 peak window (before pricing)</w:t>
            </w:r>
          </w:p>
        </w:tc>
        <w:tc>
          <w:tcPr>
            <w:tcW w:type="dxa" w:w="4824"/>
            <w:tcBorders>
              <w:bottom w:val="single" w:sz="4" w:color="D9D9D9"/>
            </w:tcBorders>
            <w:vAlign w:val="center"/>
          </w:tcPr>
          <w:p>
            <w:pPr>
              <w:spacing w:before="80" w:after="80"/>
              <w:jc w:val="right"/>
            </w:pPr>
            <w:r>
              <w:rPr>
                <w:rFonts w:ascii="Archivo" w:hAnsi="Archivo"/>
                <w:b/>
                <w:i w:val="0"/>
                <w:color w:val="1B1B1B"/>
                <w:sz w:val="20"/>
              </w:rPr>
              <w:t>73%</w:t>
            </w:r>
          </w:p>
        </w:tc>
      </w:tr>
      <w:tr>
        <w:tc>
          <w:tcPr>
            <w:tcW w:type="dxa" w:w="4824"/>
            <w:tcBorders>
              <w:bottom w:val="single" w:sz="4" w:color="D9D9D9"/>
            </w:tcBorders>
            <w:vAlign w:val="center"/>
          </w:tcPr>
          <w:p>
            <w:pPr>
              <w:spacing w:before="80" w:after="80"/>
            </w:pPr>
            <w:r>
              <w:rPr>
                <w:rFonts w:ascii="Archivo" w:hAnsi="Archivo"/>
                <w:b w:val="0"/>
                <w:i w:val="0"/>
                <w:color w:val="666666"/>
                <w:sz w:val="20"/>
              </w:rPr>
              <w:t>Weekday sessions in the $0.35 peak window (after pricing)</w:t>
            </w:r>
          </w:p>
        </w:tc>
        <w:tc>
          <w:tcPr>
            <w:tcW w:type="dxa" w:w="4824"/>
            <w:tcBorders>
              <w:bottom w:val="single" w:sz="4" w:color="D9D9D9"/>
            </w:tcBorders>
            <w:vAlign w:val="center"/>
          </w:tcPr>
          <w:p>
            <w:pPr>
              <w:spacing w:before="80" w:after="80"/>
              <w:jc w:val="right"/>
            </w:pPr>
            <w:r>
              <w:rPr>
                <w:rFonts w:ascii="Archivo" w:hAnsi="Archivo"/>
                <w:b/>
                <w:i w:val="0"/>
                <w:color w:val="1B1B1B"/>
                <w:sz w:val="20"/>
              </w:rPr>
              <w:t>55%</w:t>
            </w:r>
          </w:p>
        </w:tc>
      </w:tr>
      <w:tr>
        <w:tc>
          <w:tcPr>
            <w:tcW w:type="dxa" w:w="4824"/>
            <w:tcBorders>
              <w:bottom w:val="single" w:sz="4" w:color="D9D9D9"/>
            </w:tcBorders>
            <w:vAlign w:val="center"/>
          </w:tcPr>
          <w:p>
            <w:pPr>
              <w:spacing w:before="80" w:after="80"/>
            </w:pPr>
            <w:r>
              <w:rPr>
                <w:rFonts w:ascii="Archivo" w:hAnsi="Archivo"/>
                <w:b w:val="0"/>
                <w:i w:val="0"/>
                <w:color w:val="666666"/>
                <w:sz w:val="20"/>
              </w:rPr>
              <w:t>8pm–10pm off-peak ($0.25) weekday sessions</w:t>
            </w:r>
          </w:p>
        </w:tc>
        <w:tc>
          <w:tcPr>
            <w:tcW w:type="dxa" w:w="4824"/>
            <w:tcBorders>
              <w:bottom w:val="single" w:sz="4" w:color="D9D9D9"/>
            </w:tcBorders>
            <w:vAlign w:val="center"/>
          </w:tcPr>
          <w:p>
            <w:pPr>
              <w:spacing w:before="80" w:after="80"/>
              <w:jc w:val="right"/>
            </w:pPr>
            <w:r>
              <w:rPr>
                <w:rFonts w:ascii="Archivo" w:hAnsi="Archivo"/>
                <w:b/>
                <w:i w:val="0"/>
                <w:color w:val="1B1B1B"/>
                <w:sz w:val="20"/>
              </w:rPr>
              <w:t>11% → 24%</w:t>
            </w:r>
          </w:p>
        </w:tc>
      </w:tr>
    </w:tbl>
    <w:tbl>
      <w:tblPr>
        <w:tblW w:type="auto" w:w="0"/>
        <w:tblLook w:firstColumn="1" w:firstRow="1" w:lastColumn="0" w:lastRow="0" w:noHBand="0" w:noVBand="1" w:val="04A0"/>
      </w:tblPr>
      <w:tblGrid>
        <w:gridCol w:w="9648"/>
      </w:tblGrid>
      <w:tr>
        <w:tc>
          <w:tcPr>
            <w:tcW w:type="dxa" w:w="9648"/>
            <w:shd w:val="clear" w:color="auto" w:fill="F5F7C9"/>
            <w:tcBorders>
              <w:top w:val="single" w:sz="4" w:color="E5DC80"/>
              <w:bottom w:val="single" w:sz="4" w:color="E5DC80"/>
              <w:left w:val="single" w:sz="4" w:color="E5DC80"/>
              <w:right w:val="single" w:sz="4" w:color="E5DC80"/>
            </w:tcBorders>
          </w:tcPr>
          <w:p>
            <w:pPr>
              <w:spacing w:before="200"/>
            </w:pPr>
            <w:r>
              <w:rPr>
                <w:rFonts w:ascii="Archivo" w:hAnsi="Archivo"/>
                <w:b/>
                <w:i w:val="0"/>
                <w:color w:val="B89A00"/>
                <w:sz w:val="17"/>
              </w:rPr>
              <w:t>WHY IT MATTERS TO DRIVERS</w:t>
            </w:r>
          </w:p>
          <w:p>
            <w:pPr>
              <w:spacing w:after="200"/>
            </w:pPr>
            <w:r>
              <w:rPr>
                <w:rFonts w:ascii="Archivo" w:hAnsi="Archivo"/>
                <w:b w:val="0"/>
                <w:i w:val="0"/>
                <w:color w:val="333333"/>
                <w:sz w:val="20"/>
              </w:rPr>
              <w:t>Deferring a charge by a few hours is a real, achievable discount, not a hypothetical one drivers have to take on faith. The data shows a meaningful share of drivers already choosing the cheaper window on their own.</w:t>
            </w:r>
          </w:p>
        </w:tc>
      </w:tr>
    </w:tbl>
    <w:p>
      <w:pPr>
        <w:spacing w:before="0" w:after="80"/>
      </w:pPr>
    </w:p>
    <w:p>
      <w:pPr>
        <w:spacing w:before="0" w:after="40"/>
      </w:pPr>
      <w:r>
        <w:rPr>
          <w:rFonts w:ascii="Archivo" w:hAnsi="Archivo"/>
          <w:b/>
          <w:i w:val="0"/>
          <w:color w:val="8F8F8F"/>
          <w:sz w:val="18"/>
        </w:rPr>
        <w:t>04 · UTILITY</w:t>
      </w:r>
    </w:p>
    <w:p>
      <w:pPr>
        <w:spacing w:after="80"/>
      </w:pPr>
      <w:r>
        <w:rPr>
          <w:rFonts w:ascii="Archivo" w:hAnsi="Archivo"/>
          <w:b/>
          <w:i w:val="0"/>
          <w:color w:val="1B1B1B"/>
          <w:sz w:val="32"/>
        </w:rPr>
        <w:t>A quantified peak-shaving story a utility can act on</w:t>
      </w:r>
    </w:p>
    <w:p>
      <w:pPr>
        <w:spacing w:after="200"/>
      </w:pPr>
      <w:r>
        <w:rPr>
          <w:rFonts w:ascii="Archivo" w:hAnsi="Archivo"/>
          <w:b/>
          <w:i w:val="0"/>
          <w:color w:val="B89A00"/>
          <w:sz w:val="44"/>
        </w:rPr>
        <w:t>1.7%</w:t>
      </w:r>
    </w:p>
    <w:p>
      <w:pPr>
        <w:spacing w:before="0" w:after="160"/>
      </w:pPr>
      <w:r>
        <w:rPr>
          <w:rFonts w:ascii="Archivo" w:hAnsi="Archivo"/>
          <w:b w:val="0"/>
          <w:i w:val="0"/>
          <w:color w:val="333333"/>
          <w:sz w:val="21"/>
        </w:rPr>
        <w:t>Utilities considering managed-charging or demand-response partnerships need evidence that a site's EV load isn't a coincident peak risk. Across the full 71-day session record, simultaneous port usage at this property was measured directly, interval by interval:</w:t>
      </w:r>
    </w:p>
    <w:tbl>
      <w:tblPr>
        <w:tblW w:type="auto" w:w="0"/>
        <w:tblLayout w:type="autofit"/>
        <w:tblLook w:firstColumn="1" w:firstRow="1" w:lastColumn="0" w:lastRow="0" w:noHBand="0" w:noVBand="1" w:val="04A0"/>
      </w:tblPr>
      <w:tblGrid>
        <w:gridCol w:w="4824"/>
        <w:gridCol w:w="4824"/>
      </w:tblGrid>
      <w:tr>
        <w:tc>
          <w:tcPr>
            <w:tcW w:type="dxa" w:w="4824"/>
            <w:tcBorders>
              <w:bottom w:val="single" w:sz="4" w:color="D9D9D9"/>
            </w:tcBorders>
            <w:vAlign w:val="center"/>
          </w:tcPr>
          <w:p>
            <w:pPr>
              <w:spacing w:before="80" w:after="80"/>
            </w:pPr>
            <w:r>
              <w:rPr>
                <w:rFonts w:ascii="Archivo" w:hAnsi="Archivo"/>
                <w:b w:val="0"/>
                <w:i w:val="0"/>
                <w:color w:val="666666"/>
                <w:sz w:val="20"/>
              </w:rPr>
              <w:t>Time all 4 ports were simultaneously plugged in</w:t>
            </w:r>
          </w:p>
        </w:tc>
        <w:tc>
          <w:tcPr>
            <w:tcW w:type="dxa" w:w="4824"/>
            <w:tcBorders>
              <w:bottom w:val="single" w:sz="4" w:color="D9D9D9"/>
            </w:tcBorders>
            <w:vAlign w:val="center"/>
          </w:tcPr>
          <w:p>
            <w:pPr>
              <w:spacing w:before="80" w:after="80"/>
              <w:jc w:val="right"/>
            </w:pPr>
            <w:r>
              <w:rPr>
                <w:rFonts w:ascii="Archivo" w:hAnsi="Archivo"/>
                <w:b/>
                <w:i w:val="0"/>
                <w:color w:val="1B1B1B"/>
                <w:sz w:val="20"/>
              </w:rPr>
              <w:t>1.7% of elapsed time (28.5 of 1,674 hours)</w:t>
            </w:r>
          </w:p>
        </w:tc>
      </w:tr>
      <w:tr>
        <w:tc>
          <w:tcPr>
            <w:tcW w:type="dxa" w:w="4824"/>
            <w:tcBorders>
              <w:bottom w:val="single" w:sz="4" w:color="D9D9D9"/>
            </w:tcBorders>
            <w:vAlign w:val="center"/>
          </w:tcPr>
          <w:p>
            <w:pPr>
              <w:spacing w:before="80" w:after="80"/>
            </w:pPr>
            <w:r>
              <w:rPr>
                <w:rFonts w:ascii="Archivo" w:hAnsi="Archivo"/>
                <w:b w:val="0"/>
                <w:i w:val="0"/>
                <w:color w:val="666666"/>
                <w:sz w:val="20"/>
              </w:rPr>
              <w:t>Intervals where all 4 were simultaneously charging</w:t>
            </w:r>
          </w:p>
        </w:tc>
        <w:tc>
          <w:tcPr>
            <w:tcW w:type="dxa" w:w="4824"/>
            <w:tcBorders>
              <w:bottom w:val="single" w:sz="4" w:color="D9D9D9"/>
            </w:tcBorders>
            <w:vAlign w:val="center"/>
          </w:tcPr>
          <w:p>
            <w:pPr>
              <w:spacing w:before="80" w:after="80"/>
              <w:jc w:val="right"/>
            </w:pPr>
            <w:r>
              <w:rPr>
                <w:rFonts w:ascii="Archivo" w:hAnsi="Archivo"/>
                <w:b/>
                <w:i w:val="0"/>
                <w:color w:val="1B1B1B"/>
                <w:sz w:val="20"/>
              </w:rPr>
              <w:t>0 of 6,697 measured</w:t>
            </w:r>
          </w:p>
        </w:tc>
      </w:tr>
      <w:tr>
        <w:tc>
          <w:tcPr>
            <w:tcW w:type="dxa" w:w="4824"/>
            <w:tcBorders>
              <w:bottom w:val="single" w:sz="4" w:color="D9D9D9"/>
            </w:tcBorders>
            <w:vAlign w:val="center"/>
          </w:tcPr>
          <w:p>
            <w:pPr>
              <w:spacing w:before="80" w:after="80"/>
            </w:pPr>
            <w:r>
              <w:rPr>
                <w:rFonts w:ascii="Archivo" w:hAnsi="Archivo"/>
                <w:b w:val="0"/>
                <w:i w:val="0"/>
                <w:color w:val="666666"/>
                <w:sz w:val="20"/>
              </w:rPr>
              <w:t>Avg. ports actively drawing power during rare all-4-occupied windows</w:t>
            </w:r>
          </w:p>
        </w:tc>
        <w:tc>
          <w:tcPr>
            <w:tcW w:type="dxa" w:w="4824"/>
            <w:tcBorders>
              <w:bottom w:val="single" w:sz="4" w:color="D9D9D9"/>
            </w:tcBorders>
            <w:vAlign w:val="center"/>
          </w:tcPr>
          <w:p>
            <w:pPr>
              <w:spacing w:before="80" w:after="80"/>
              <w:jc w:val="right"/>
            </w:pPr>
            <w:r>
              <w:rPr>
                <w:rFonts w:ascii="Archivo" w:hAnsi="Archivo"/>
                <w:b/>
                <w:i w:val="0"/>
                <w:color w:val="1B1B1B"/>
                <w:sz w:val="20"/>
              </w:rPr>
              <w:t>1.4 of 4</w:t>
            </w:r>
          </w:p>
        </w:tc>
      </w:tr>
    </w:tbl>
    <w:p>
      <w:pPr>
        <w:spacing w:before="200" w:after="80"/>
      </w:pPr>
      <w:r>
        <w:rPr>
          <w:rFonts w:ascii="Archivo" w:hAnsi="Archivo"/>
          <w:b w:val="0"/>
          <w:i w:val="0"/>
          <w:color w:val="333333"/>
          <w:sz w:val="21"/>
        </w:rPr>
        <w:t>Combined with the driver behavior shift in Pillar 3 and the demand-coincidence finding in Pillar 2, the pattern is consistent: a modest price signal, with no hardware throttling required, keeps this site's EV load from ever stacking into a genuine simultaneous peak.</w:t>
      </w:r>
    </w:p>
    <w:tbl>
      <w:tblPr>
        <w:tblW w:type="auto" w:w="0"/>
        <w:tblLook w:firstColumn="1" w:firstRow="1" w:lastColumn="0" w:lastRow="0" w:noHBand="0" w:noVBand="1" w:val="04A0"/>
      </w:tblPr>
      <w:tblGrid>
        <w:gridCol w:w="9648"/>
      </w:tblGrid>
      <w:tr>
        <w:tc>
          <w:tcPr>
            <w:tcW w:type="dxa" w:w="9648"/>
            <w:shd w:val="clear" w:color="auto" w:fill="F5F7C9"/>
            <w:tcBorders>
              <w:top w:val="single" w:sz="4" w:color="E5DC80"/>
              <w:bottom w:val="single" w:sz="4" w:color="E5DC80"/>
              <w:left w:val="single" w:sz="4" w:color="E5DC80"/>
              <w:right w:val="single" w:sz="4" w:color="E5DC80"/>
            </w:tcBorders>
          </w:tcPr>
          <w:p>
            <w:pPr>
              <w:spacing w:before="200"/>
            </w:pPr>
            <w:r>
              <w:rPr>
                <w:rFonts w:ascii="Archivo" w:hAnsi="Archivo"/>
                <w:b/>
                <w:i w:val="0"/>
                <w:color w:val="B89A00"/>
                <w:sz w:val="17"/>
              </w:rPr>
              <w:t>WHY IT MATTERS TO UTILITY</w:t>
            </w:r>
          </w:p>
          <w:p>
            <w:pPr>
              <w:spacing w:after="200"/>
            </w:pPr>
            <w:r>
              <w:rPr>
                <w:rFonts w:ascii="Archivo" w:hAnsi="Archivo"/>
                <w:b w:val="0"/>
                <w:i w:val="0"/>
                <w:color w:val="333333"/>
                <w:sz w:val="20"/>
              </w:rPr>
              <w:t>This is the evidence base a utility needs before funding a demand-response incentive or rate pilot: a real site, real meter data, and a measured response to price, not a simulation.</w:t>
            </w:r>
          </w:p>
        </w:tc>
      </w:tr>
    </w:tbl>
    <w:p>
      <w:pPr>
        <w:spacing w:before="0" w:after="80"/>
      </w:pPr>
    </w:p>
    <w:p>
      <w:r>
        <w:br w:type="page"/>
      </w:r>
    </w:p>
    <w:p>
      <w:pPr>
        <w:spacing w:before="0" w:after="40"/>
      </w:pPr>
      <w:r>
        <w:rPr>
          <w:rFonts w:ascii="Archivo" w:hAnsi="Archivo"/>
          <w:b/>
          <w:i w:val="0"/>
          <w:color w:val="8F8F8F"/>
          <w:sz w:val="18"/>
        </w:rPr>
        <w:t>05 · PROSPECTIVE PARTNERS</w:t>
      </w:r>
    </w:p>
    <w:p>
      <w:pPr>
        <w:spacing w:after="80"/>
      </w:pPr>
      <w:r>
        <w:rPr>
          <w:rFonts w:ascii="Archivo" w:hAnsi="Archivo"/>
          <w:b/>
          <w:i w:val="0"/>
          <w:color w:val="1B1B1B"/>
          <w:sz w:val="32"/>
        </w:rPr>
        <w:t>Want this at your property? We cover everything.</w:t>
      </w:r>
    </w:p>
    <w:p>
      <w:pPr>
        <w:spacing w:after="200"/>
      </w:pPr>
      <w:r>
        <w:rPr>
          <w:rFonts w:ascii="Archivo" w:hAnsi="Archivo"/>
          <w:b/>
          <w:i w:val="0"/>
          <w:color w:val="B89A00"/>
          <w:sz w:val="44"/>
        </w:rPr>
        <w:t>$0 cost to you</w:t>
      </w:r>
    </w:p>
    <w:p>
      <w:pPr>
        <w:spacing w:before="0" w:after="200"/>
      </w:pPr>
      <w:r>
        <w:rPr>
          <w:rFonts w:ascii="Archivo" w:hAnsi="Archivo"/>
          <w:b w:val="0"/>
          <w:i w:val="0"/>
          <w:color w:val="333333"/>
          <w:sz w:val="21"/>
        </w:rPr>
        <w:t>Everything above happened without the property spending a dollar or taking on any operating risk. That's the model: Terrapin installs, owns, and runs the chargers. The property hosts them and gets paid.</w:t>
      </w:r>
    </w:p>
    <w:p>
      <w:pPr>
        <w:spacing w:after="120"/>
      </w:pPr>
      <w:r>
        <w:rPr>
          <w:rFonts w:ascii="Archivo" w:hAnsi="Archivo"/>
          <w:b/>
          <w:i w:val="0"/>
          <w:color w:val="B89A00"/>
          <w:sz w:val="21"/>
        </w:rPr>
        <w:t xml:space="preserve">✓  </w:t>
      </w:r>
      <w:r>
        <w:rPr>
          <w:rFonts w:ascii="Archivo" w:hAnsi="Archivo"/>
          <w:b/>
          <w:i w:val="0"/>
          <w:color w:val="1B1B1B"/>
          <w:sz w:val="21"/>
        </w:rPr>
        <w:t>Hardware</w:t>
      </w:r>
      <w:r>
        <w:rPr>
          <w:rFonts w:ascii="Archivo" w:hAnsi="Archivo"/>
          <w:b w:val="0"/>
          <w:i w:val="0"/>
          <w:color w:val="333333"/>
          <w:sz w:val="21"/>
        </w:rPr>
        <w:t>: the chargers themselves, fully paid for by Terrapin</w:t>
      </w:r>
    </w:p>
    <w:p>
      <w:pPr>
        <w:spacing w:after="120"/>
      </w:pPr>
      <w:r>
        <w:rPr>
          <w:rFonts w:ascii="Archivo" w:hAnsi="Archivo"/>
          <w:b/>
          <w:i w:val="0"/>
          <w:color w:val="B89A00"/>
          <w:sz w:val="21"/>
        </w:rPr>
        <w:t xml:space="preserve">✓  </w:t>
      </w:r>
      <w:r>
        <w:rPr>
          <w:rFonts w:ascii="Archivo" w:hAnsi="Archivo"/>
          <w:b/>
          <w:i w:val="0"/>
          <w:color w:val="1B1B1B"/>
          <w:sz w:val="21"/>
        </w:rPr>
        <w:t>Installation</w:t>
      </w:r>
      <w:r>
        <w:rPr>
          <w:rFonts w:ascii="Archivo" w:hAnsi="Archivo"/>
          <w:b w:val="0"/>
          <w:i w:val="0"/>
          <w:color w:val="333333"/>
          <w:sz w:val="21"/>
        </w:rPr>
        <w:t>: electrical work, permitting, and setup, at Terrapin's cost</w:t>
      </w:r>
    </w:p>
    <w:p>
      <w:pPr>
        <w:spacing w:after="120"/>
      </w:pPr>
      <w:r>
        <w:rPr>
          <w:rFonts w:ascii="Archivo" w:hAnsi="Archivo"/>
          <w:b/>
          <w:i w:val="0"/>
          <w:color w:val="B89A00"/>
          <w:sz w:val="21"/>
        </w:rPr>
        <w:t xml:space="preserve">✓  </w:t>
      </w:r>
      <w:r>
        <w:rPr>
          <w:rFonts w:ascii="Archivo" w:hAnsi="Archivo"/>
          <w:b/>
          <w:i w:val="0"/>
          <w:color w:val="1B1B1B"/>
          <w:sz w:val="21"/>
        </w:rPr>
        <w:t>Operations</w:t>
      </w:r>
      <w:r>
        <w:rPr>
          <w:rFonts w:ascii="Archivo" w:hAnsi="Archivo"/>
          <w:b w:val="0"/>
          <w:i w:val="0"/>
          <w:color w:val="333333"/>
          <w:sz w:val="21"/>
        </w:rPr>
        <w:t>: billing, maintenance, driver support, and the electricity bill itself, all on Terrapin</w:t>
      </w:r>
    </w:p>
    <w:p>
      <w:pPr>
        <w:spacing w:before="200" w:after="80"/>
      </w:pPr>
      <w:r>
        <w:rPr>
          <w:rFonts w:ascii="Archivo" w:hAnsi="Archivo"/>
          <w:b w:val="0"/>
          <w:i w:val="0"/>
          <w:color w:val="333333"/>
          <w:sz w:val="21"/>
        </w:rPr>
        <w:t>In exchange, the property earns a licensing fee for hosting the chargers, at The Plaza at Pikes Peak, that was $98 in July alone, from just four charging spots, with the number scaling with property size and usage. No capital outlay, no maintenance calls, no downside if usage is slow, just parking spots turned into a new, passive line of income.</w:t>
      </w:r>
    </w:p>
    <w:tbl>
      <w:tblPr>
        <w:tblW w:type="auto" w:w="0"/>
        <w:tblLook w:firstColumn="1" w:firstRow="1" w:lastColumn="0" w:lastRow="0" w:noHBand="0" w:noVBand="1" w:val="04A0"/>
      </w:tblPr>
      <w:tblGrid>
        <w:gridCol w:w="9648"/>
      </w:tblGrid>
      <w:tr>
        <w:tc>
          <w:tcPr>
            <w:tcW w:type="dxa" w:w="9648"/>
            <w:shd w:val="clear" w:color="auto" w:fill="F5F7C9"/>
            <w:tcBorders>
              <w:top w:val="single" w:sz="4" w:color="E5DC80"/>
              <w:bottom w:val="single" w:sz="4" w:color="E5DC80"/>
              <w:left w:val="single" w:sz="4" w:color="E5DC80"/>
              <w:right w:val="single" w:sz="4" w:color="E5DC80"/>
            </w:tcBorders>
          </w:tcPr>
          <w:p>
            <w:pPr>
              <w:spacing w:before="200"/>
            </w:pPr>
            <w:r>
              <w:rPr>
                <w:rFonts w:ascii="Archivo" w:hAnsi="Archivo"/>
                <w:b/>
                <w:i w:val="0"/>
                <w:color w:val="B89A00"/>
                <w:sz w:val="17"/>
              </w:rPr>
              <w:t>WHY IT MATTERS TO THE PROPERTY</w:t>
            </w:r>
          </w:p>
          <w:p>
            <w:pPr>
              <w:spacing w:after="200"/>
            </w:pPr>
            <w:r>
              <w:rPr>
                <w:rFonts w:ascii="Archivo" w:hAnsi="Archivo"/>
                <w:b w:val="0"/>
                <w:i w:val="0"/>
                <w:color w:val="333333"/>
                <w:sz w:val="20"/>
              </w:rPr>
              <w:t>Every risk in this case study (the cost of electricity, the demand-charge exposure, the equipment itself) sits with Terrapin, not the property. The property's downside is zero. That's what makes it a no-brainer.</w:t>
            </w:r>
          </w:p>
        </w:tc>
      </w:tr>
    </w:tbl>
    <w:p>
      <w:pPr>
        <w:spacing w:before="280"/>
      </w:pPr>
      <w:r>
        <w:rPr>
          <w:rFonts w:ascii="Archivo" w:hAnsi="Archivo"/>
          <w:b/>
          <w:i w:val="0"/>
          <w:color w:val="B89A00"/>
          <w:sz w:val="24"/>
        </w:rPr>
        <w:t>Talk to Terrapin about turning your property's parking into revenue.</w:t>
      </w:r>
    </w:p>
    <w:p>
      <w:pPr>
        <w:spacing w:before="80" w:after="80"/>
        <w:pBdr>
          <w:bottom w:val="single" w:sz="6" w:space="1" w:color="D9D9D9"/>
        </w:pBdr>
      </w:pPr>
    </w:p>
    <w:p>
      <w:pPr>
        <w:spacing w:before="200"/>
      </w:pPr>
      <w:r>
        <w:rPr>
          <w:rFonts w:ascii="Archivo" w:hAnsi="Archivo"/>
          <w:b/>
          <w:i w:val="0"/>
          <w:color w:val="666666"/>
          <w:sz w:val="18"/>
        </w:rPr>
        <w:t xml:space="preserve">Methodology.  </w:t>
      </w:r>
      <w:r>
        <w:rPr>
          <w:rFonts w:ascii="Archivo" w:hAnsi="Archivo"/>
          <w:b w:val="0"/>
          <w:i w:val="0"/>
          <w:color w:val="8F8F8F"/>
          <w:sz w:val="18"/>
        </w:rPr>
        <w:t>All figures are computed from measured 15-minute CSU utility meter readings and CMS session-level export data for 702 East Pikes Peak Avenue, Jun 8–Aug 17, 2026, not extrapolated or simulated except where explicitly labeled “simulation” (Pillar 2's shift scenario, which models moving already-measured on-peak kWh to off-peak hours) or “projected” (the annualized revenue and bill-savings figures, which extrapolate the measured run rate to a full year). Electricity cost uses CSU's published ETL (Electric, Time-of-Use, Large) tariff rates. Full derivations are available on request.</w:t>
      </w:r>
    </w:p>
    <w:p>
      <w:pPr>
        <w:spacing w:before="280"/>
      </w:pPr>
      <w:r>
        <w:rPr>
          <w:rFonts w:ascii="Archivo" w:hAnsi="Archivo"/>
          <w:b/>
          <w:i w:val="0"/>
          <w:color w:val="B89A00"/>
          <w:sz w:val="19"/>
        </w:rPr>
        <w:t>The Plaza at Pikes Peak</w:t>
      </w:r>
      <w:r>
        <w:rPr>
          <w:rFonts w:ascii="Archivo" w:hAnsi="Archivo"/>
          <w:b/>
          <w:i w:val="0"/>
          <w:color w:val="B89A00"/>
          <w:sz w:val="19"/>
        </w:rPr>
        <w:tab/>
        <w:tab/>
        <w:tab/>
        <w:tab/>
        <w:tab/>
        <w:tab/>
        <w:t>Powered by Terrapin</w:t>
      </w:r>
    </w:p>
    <w:sectPr w:rsidR="00FC693F" w:rsidRPr="0006063C" w:rsidSect="00034616">
      <w:pgSz w:w="12240" w:h="15840"/>
      <w:pgMar w:top="1008" w:right="1296" w:bottom="1008"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chivo" w:hAnsi="Archivo"/>
      <w:color w:val="1B1B1B"/>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